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B9A3B" w14:textId="77777777" w:rsidR="0057211E" w:rsidRPr="00E657B9" w:rsidRDefault="0057211E" w:rsidP="00E657B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657B9">
        <w:rPr>
          <w:b/>
          <w:sz w:val="28"/>
          <w:szCs w:val="28"/>
        </w:rPr>
        <w:t>Teaching Fellows Institute</w:t>
      </w:r>
    </w:p>
    <w:p w14:paraId="3338BD33" w14:textId="77777777" w:rsidR="0057211E" w:rsidRPr="00E657B9" w:rsidRDefault="0057211E" w:rsidP="00E657B9">
      <w:pPr>
        <w:jc w:val="center"/>
        <w:rPr>
          <w:b/>
          <w:sz w:val="28"/>
          <w:szCs w:val="28"/>
        </w:rPr>
      </w:pPr>
      <w:r w:rsidRPr="00E657B9">
        <w:rPr>
          <w:b/>
          <w:sz w:val="28"/>
          <w:szCs w:val="28"/>
        </w:rPr>
        <w:t>Faculty ELO Working Group Submission</w:t>
      </w:r>
    </w:p>
    <w:p w14:paraId="22BF196F" w14:textId="77777777" w:rsidR="0057211E" w:rsidRDefault="00E657B9" w:rsidP="0057211E">
      <w:r>
        <w:t xml:space="preserve">Email this document to </w:t>
      </w:r>
      <w:hyperlink r:id="rId5" w:history="1">
        <w:r w:rsidRPr="00AF5F0C">
          <w:rPr>
            <w:rStyle w:val="Hyperlink"/>
          </w:rPr>
          <w:t>chris.garrett@nsc.edu</w:t>
        </w:r>
      </w:hyperlink>
      <w:r>
        <w:t xml:space="preserve"> by Friday, June 11</w:t>
      </w:r>
      <w:r w:rsidRPr="00E657B9">
        <w:rPr>
          <w:vertAlign w:val="superscript"/>
        </w:rPr>
        <w:t>th</w:t>
      </w:r>
      <w:r>
        <w:t xml:space="preserve">. </w:t>
      </w:r>
    </w:p>
    <w:p w14:paraId="183F6AE1" w14:textId="77777777" w:rsidR="0057211E" w:rsidRDefault="0057211E" w:rsidP="0057211E"/>
    <w:p w14:paraId="53F3EC04" w14:textId="77777777" w:rsidR="00E657B9" w:rsidRDefault="00E657B9" w:rsidP="00E657B9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A) </w:t>
      </w:r>
      <w:r w:rsidR="0057211E" w:rsidRPr="00E657B9">
        <w:rPr>
          <w:rFonts w:ascii="Calibri" w:eastAsia="Times New Roman" w:hAnsi="Calibri" w:cs="Calibri"/>
          <w:color w:val="000000"/>
        </w:rPr>
        <w:t>Name of the Essential Learning Outcome (ELO) </w:t>
      </w:r>
    </w:p>
    <w:p w14:paraId="4FB22AB9" w14:textId="3505428C" w:rsidR="00E657B9" w:rsidRDefault="00E657B9" w:rsidP="00E657B9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</w:p>
    <w:p w14:paraId="25D6C57C" w14:textId="74DB58D8" w:rsidR="009568F1" w:rsidRDefault="009568F1" w:rsidP="00E657B9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Creative Expression &amp; Aesthetics</w:t>
      </w:r>
    </w:p>
    <w:p w14:paraId="011DC9D0" w14:textId="77777777" w:rsidR="00E657B9" w:rsidRDefault="00E657B9" w:rsidP="00E657B9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</w:p>
    <w:p w14:paraId="6ED3D26D" w14:textId="77777777" w:rsidR="0057211E" w:rsidRPr="00E657B9" w:rsidRDefault="0057211E" w:rsidP="00E657B9">
      <w:pPr>
        <w:pStyle w:val="ListParagraph"/>
        <w:numPr>
          <w:ilvl w:val="0"/>
          <w:numId w:val="2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E657B9">
        <w:rPr>
          <w:rFonts w:ascii="Calibri" w:eastAsia="Times New Roman" w:hAnsi="Calibri" w:cs="Calibri"/>
          <w:color w:val="000000"/>
        </w:rPr>
        <w:t>if you have an alternative name for the ELO feel free to</w:t>
      </w:r>
      <w:r w:rsidR="00E657B9">
        <w:rPr>
          <w:rFonts w:ascii="Calibri" w:eastAsia="Times New Roman" w:hAnsi="Calibri" w:cs="Calibri"/>
          <w:color w:val="000000"/>
        </w:rPr>
        <w:t xml:space="preserve"> also suggest it here</w:t>
      </w:r>
    </w:p>
    <w:p w14:paraId="4F3CA3B2" w14:textId="4E8A638E" w:rsidR="00E657B9" w:rsidRPr="0057211E" w:rsidRDefault="009568F1" w:rsidP="009568F1">
      <w:pPr>
        <w:shd w:val="clear" w:color="auto" w:fill="FFFFFF"/>
        <w:spacing w:line="235" w:lineRule="atLeast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n/a</w:t>
      </w:r>
    </w:p>
    <w:p w14:paraId="6460D208" w14:textId="77777777" w:rsidR="0057211E" w:rsidRPr="00E657B9" w:rsidRDefault="0057211E" w:rsidP="00E657B9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E657B9">
        <w:rPr>
          <w:rFonts w:ascii="Calibri" w:eastAsia="Times New Roman" w:hAnsi="Calibri" w:cs="Calibri"/>
          <w:color w:val="000000"/>
        </w:rPr>
        <w:t>Both refined definitions</w:t>
      </w:r>
      <w:r w:rsidR="00E657B9" w:rsidRPr="00E657B9">
        <w:rPr>
          <w:rFonts w:ascii="Calibri" w:eastAsia="Times New Roman" w:hAnsi="Calibri" w:cs="Calibri"/>
          <w:color w:val="000000"/>
        </w:rPr>
        <w:t xml:space="preserve"> of the ELO</w:t>
      </w:r>
      <w:r w:rsidRPr="00E657B9">
        <w:rPr>
          <w:rFonts w:ascii="Calibri" w:eastAsia="Times New Roman" w:hAnsi="Calibri" w:cs="Calibri"/>
          <w:color w:val="000000"/>
        </w:rPr>
        <w:t>: </w:t>
      </w:r>
    </w:p>
    <w:p w14:paraId="71666C19" w14:textId="77777777" w:rsidR="0057211E" w:rsidRDefault="0057211E" w:rsidP="0057211E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57211E">
        <w:rPr>
          <w:rFonts w:ascii="Calibri" w:eastAsia="Times New Roman" w:hAnsi="Calibri" w:cs="Calibri"/>
          <w:color w:val="000000"/>
        </w:rPr>
        <w:t>     a) one short definition (one sentence directed for students) </w:t>
      </w:r>
    </w:p>
    <w:p w14:paraId="014DEA34" w14:textId="1B512266" w:rsidR="00E657B9" w:rsidRPr="0057211E" w:rsidRDefault="009568F1" w:rsidP="00052742">
      <w:pPr>
        <w:shd w:val="clear" w:color="auto" w:fill="FFFFFF"/>
        <w:spacing w:line="235" w:lineRule="atLeast"/>
        <w:ind w:left="720"/>
        <w:rPr>
          <w:rFonts w:ascii="Calibri" w:eastAsia="Times New Roman" w:hAnsi="Calibri" w:cs="Calibri"/>
          <w:color w:val="000000"/>
        </w:rPr>
      </w:pPr>
      <w:r w:rsidRPr="009568F1">
        <w:rPr>
          <w:rFonts w:ascii="Calibri" w:eastAsia="Times New Roman" w:hAnsi="Calibri" w:cs="Calibri"/>
          <w:color w:val="000000"/>
        </w:rPr>
        <w:t>The development of skills for creating works in a particular medium, and strategies for improving technique and producing original and expressive art</w:t>
      </w:r>
      <w:r w:rsidR="002040F3">
        <w:rPr>
          <w:rFonts w:ascii="Calibri" w:eastAsia="Times New Roman" w:hAnsi="Calibri" w:cs="Calibri"/>
          <w:color w:val="000000"/>
        </w:rPr>
        <w:t xml:space="preserve"> (Creative Works</w:t>
      </w:r>
      <w:r w:rsidR="00052742">
        <w:rPr>
          <w:rFonts w:ascii="Calibri" w:eastAsia="Times New Roman" w:hAnsi="Calibri" w:cs="Calibri"/>
          <w:color w:val="000000"/>
        </w:rPr>
        <w:t>), or t</w:t>
      </w:r>
      <w:r w:rsidRPr="009568F1">
        <w:rPr>
          <w:rFonts w:ascii="Calibri" w:eastAsia="Times New Roman" w:hAnsi="Calibri" w:cs="Calibri"/>
          <w:color w:val="000000"/>
        </w:rPr>
        <w:t>he study of art through the history and context of various movements, styles, or periods; examination of the form and qualities of a particular type of art; and</w:t>
      </w:r>
      <w:r w:rsidR="0028500F">
        <w:rPr>
          <w:rFonts w:ascii="Calibri" w:eastAsia="Times New Roman" w:hAnsi="Calibri" w:cs="Calibri"/>
          <w:color w:val="000000"/>
        </w:rPr>
        <w:t>/or</w:t>
      </w:r>
      <w:r w:rsidRPr="009568F1">
        <w:rPr>
          <w:rFonts w:ascii="Calibri" w:eastAsia="Times New Roman" w:hAnsi="Calibri" w:cs="Calibri"/>
          <w:color w:val="000000"/>
        </w:rPr>
        <w:t xml:space="preserve"> strategies for analyzing and critiquing art</w:t>
      </w:r>
      <w:r w:rsidR="00052742">
        <w:rPr>
          <w:rFonts w:ascii="Calibri" w:eastAsia="Times New Roman" w:hAnsi="Calibri" w:cs="Calibri"/>
          <w:color w:val="000000"/>
        </w:rPr>
        <w:t xml:space="preserve"> (Aesthetics)</w:t>
      </w:r>
    </w:p>
    <w:p w14:paraId="251E8EC1" w14:textId="77777777" w:rsidR="0057211E" w:rsidRDefault="0057211E" w:rsidP="0057211E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57211E">
        <w:rPr>
          <w:rFonts w:ascii="Calibri" w:eastAsia="Times New Roman" w:hAnsi="Calibri" w:cs="Calibri"/>
          <w:color w:val="000000"/>
        </w:rPr>
        <w:t>     b) a longer definition (useful particularly for faculty) </w:t>
      </w:r>
    </w:p>
    <w:p w14:paraId="776A6FCC" w14:textId="79684758" w:rsidR="00253D93" w:rsidRDefault="009568F1" w:rsidP="00052742">
      <w:pPr>
        <w:shd w:val="clear" w:color="auto" w:fill="FFFFFF"/>
        <w:spacing w:line="235" w:lineRule="atLeast"/>
        <w:ind w:left="720"/>
        <w:rPr>
          <w:rFonts w:ascii="Calibri" w:eastAsia="Times New Roman" w:hAnsi="Calibri" w:cs="Calibri"/>
          <w:color w:val="000000"/>
        </w:rPr>
      </w:pPr>
      <w:r w:rsidRPr="009568F1">
        <w:rPr>
          <w:rFonts w:ascii="Calibri" w:eastAsia="Times New Roman" w:hAnsi="Calibri" w:cs="Calibri"/>
          <w:color w:val="000000"/>
        </w:rPr>
        <w:t>Study and application of skills and techniques in the production of works in the fine, performative, or literary arts, including skill development, acquisition of a range of techniques, and implementation of creative process and practice</w:t>
      </w:r>
      <w:r w:rsidR="00052742">
        <w:rPr>
          <w:rFonts w:ascii="Calibri" w:eastAsia="Times New Roman" w:hAnsi="Calibri" w:cs="Calibri"/>
          <w:color w:val="000000"/>
        </w:rPr>
        <w:t xml:space="preserve"> (Creative Works), or s</w:t>
      </w:r>
      <w:r w:rsidR="00253D93" w:rsidRPr="00253D93">
        <w:rPr>
          <w:rFonts w:ascii="Calibri" w:eastAsia="Times New Roman" w:hAnsi="Calibri" w:cs="Calibri"/>
          <w:color w:val="000000"/>
        </w:rPr>
        <w:t>tudy of various works within the fine, performative, or literary arts, including cultural and historical context for various movements, styles, or periods; qualities of medium-specific forms and related concepts; an</w:t>
      </w:r>
      <w:r w:rsidR="0028500F">
        <w:rPr>
          <w:rFonts w:ascii="Calibri" w:eastAsia="Times New Roman" w:hAnsi="Calibri" w:cs="Calibri"/>
          <w:color w:val="000000"/>
        </w:rPr>
        <w:t>d/or</w:t>
      </w:r>
      <w:r w:rsidR="00253D93" w:rsidRPr="00253D93">
        <w:rPr>
          <w:rFonts w:ascii="Calibri" w:eastAsia="Times New Roman" w:hAnsi="Calibri" w:cs="Calibri"/>
          <w:color w:val="000000"/>
        </w:rPr>
        <w:t xml:space="preserve"> art critical methods for description, analysis, interpretation, and evaluation</w:t>
      </w:r>
      <w:r w:rsidR="00052742">
        <w:rPr>
          <w:rFonts w:ascii="Calibri" w:eastAsia="Times New Roman" w:hAnsi="Calibri" w:cs="Calibri"/>
          <w:color w:val="000000"/>
        </w:rPr>
        <w:t xml:space="preserve"> (Aesthetics)</w:t>
      </w:r>
    </w:p>
    <w:p w14:paraId="507E3330" w14:textId="77777777" w:rsidR="0057211E" w:rsidRPr="00E657B9" w:rsidRDefault="0057211E" w:rsidP="00E657B9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E657B9">
        <w:rPr>
          <w:rFonts w:ascii="Calibri" w:eastAsia="Times New Roman" w:hAnsi="Calibri" w:cs="Calibri"/>
          <w:color w:val="000000"/>
        </w:rPr>
        <w:t>Glossary of key terms  </w:t>
      </w:r>
    </w:p>
    <w:p w14:paraId="5BAD703C" w14:textId="77777777" w:rsidR="00A43CF3" w:rsidRDefault="00A43CF3" w:rsidP="00A43CF3">
      <w:pPr>
        <w:shd w:val="clear" w:color="auto" w:fill="FFFFFF"/>
        <w:spacing w:line="235" w:lineRule="atLeast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Creative Expression: T</w:t>
      </w:r>
      <w:r w:rsidRPr="00C01AF8">
        <w:rPr>
          <w:rFonts w:ascii="Calibri" w:eastAsia="Times New Roman" w:hAnsi="Calibri" w:cs="Calibri"/>
          <w:color w:val="000000"/>
        </w:rPr>
        <w:t>he practice of producing art, drawing upon ‘creation’ as an active and productive force, ‘creativity’ as inventive and unique, and ‘expression’ as the indirect or non-verbal conveyance of ideas, feelings, and sensorial experience</w:t>
      </w:r>
    </w:p>
    <w:p w14:paraId="27B78B29" w14:textId="77777777" w:rsidR="00A43CF3" w:rsidRDefault="00A43CF3" w:rsidP="00A43CF3">
      <w:pPr>
        <w:shd w:val="clear" w:color="auto" w:fill="FFFFFF"/>
        <w:spacing w:line="235" w:lineRule="atLeast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Aesthetics: T</w:t>
      </w:r>
      <w:r w:rsidRPr="00C01AF8">
        <w:rPr>
          <w:rFonts w:ascii="Calibri" w:eastAsia="Times New Roman" w:hAnsi="Calibri" w:cs="Calibri"/>
          <w:color w:val="000000"/>
        </w:rPr>
        <w:t xml:space="preserve">raditionally refers to the philosophy of beauty, but more broadly references the qualities of art as examined and discussed through the critical analysis of art </w:t>
      </w:r>
    </w:p>
    <w:p w14:paraId="476263CF" w14:textId="77777777" w:rsidR="00A43CF3" w:rsidRDefault="00A43CF3" w:rsidP="00A43CF3">
      <w:pPr>
        <w:shd w:val="clear" w:color="auto" w:fill="FFFFFF"/>
        <w:spacing w:line="235" w:lineRule="atLeast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Primary: Pertinent to classes in which the ELO is organically situated (e.g. fine arts classes for this ELO)</w:t>
      </w:r>
    </w:p>
    <w:p w14:paraId="249BD3B8" w14:textId="77777777" w:rsidR="00A43CF3" w:rsidRPr="00C01AF8" w:rsidRDefault="00A43CF3" w:rsidP="00A43CF3">
      <w:pPr>
        <w:shd w:val="clear" w:color="auto" w:fill="FFFFFF"/>
        <w:spacing w:line="235" w:lineRule="atLeast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Secondary: Pertinent to classes in which the ELO is inorganically situated (e.g. non-fine arts classes for this ELO)</w:t>
      </w:r>
    </w:p>
    <w:p w14:paraId="567AF277" w14:textId="77777777" w:rsidR="0057211E" w:rsidRPr="00E657B9" w:rsidRDefault="0057211E" w:rsidP="00E657B9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E657B9">
        <w:rPr>
          <w:rFonts w:ascii="Calibri" w:eastAsia="Times New Roman" w:hAnsi="Calibri" w:cs="Calibri"/>
          <w:color w:val="000000"/>
        </w:rPr>
        <w:t>If applicable, identify the key resource that you used to generate your rubric (e.g., an AACU Value Rubric or one from another university), if you used one as a starting point and made slight modifications  </w:t>
      </w:r>
    </w:p>
    <w:p w14:paraId="45B4A941" w14:textId="6E8CBC54" w:rsidR="00E657B9" w:rsidRPr="0057211E" w:rsidRDefault="00253D93" w:rsidP="00253D93">
      <w:pPr>
        <w:shd w:val="clear" w:color="auto" w:fill="FFFFFF"/>
        <w:spacing w:line="235" w:lineRule="atLeast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 xml:space="preserve">Examination of samples provided, but rubric not drawn </w:t>
      </w:r>
      <w:r w:rsidR="00BC3BF5">
        <w:rPr>
          <w:rFonts w:ascii="Calibri" w:eastAsia="Times New Roman" w:hAnsi="Calibri" w:cs="Calibri"/>
          <w:color w:val="000000"/>
        </w:rPr>
        <w:t>from any particular</w:t>
      </w:r>
      <w:r>
        <w:rPr>
          <w:rFonts w:ascii="Calibri" w:eastAsia="Times New Roman" w:hAnsi="Calibri" w:cs="Calibri"/>
          <w:color w:val="000000"/>
        </w:rPr>
        <w:t xml:space="preserve"> document</w:t>
      </w:r>
    </w:p>
    <w:p w14:paraId="3ECDFD47" w14:textId="0915F351" w:rsidR="0057211E" w:rsidRDefault="0057211E" w:rsidP="00E657B9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E657B9">
        <w:rPr>
          <w:rFonts w:ascii="Calibri" w:eastAsia="Times New Roman" w:hAnsi="Calibri" w:cs="Calibri"/>
          <w:color w:val="000000"/>
        </w:rPr>
        <w:t>Examples of key assessments/assignments/projects</w:t>
      </w:r>
    </w:p>
    <w:p w14:paraId="2A242A1E" w14:textId="48708382" w:rsidR="00A43CF3" w:rsidRDefault="00A43CF3" w:rsidP="00A43CF3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</w:p>
    <w:p w14:paraId="1F71FE6D" w14:textId="0F597E82" w:rsidR="00A43CF3" w:rsidRDefault="0028500F" w:rsidP="00A43CF3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Primary Assessments (for a fine arts class)</w:t>
      </w:r>
    </w:p>
    <w:p w14:paraId="77C7D25A" w14:textId="47DDC373" w:rsidR="0028500F" w:rsidRDefault="0028500F" w:rsidP="00A43CF3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</w:p>
    <w:p w14:paraId="219FFD41" w14:textId="4C0469E2" w:rsidR="0028500F" w:rsidRDefault="0028500F" w:rsidP="00A43CF3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</w:t>
      </w:r>
      <w:r w:rsidR="00BC3BF5">
        <w:rPr>
          <w:rFonts w:ascii="Calibri" w:eastAsia="Times New Roman" w:hAnsi="Calibri" w:cs="Calibri"/>
          <w:color w:val="000000"/>
        </w:rPr>
        <w:t>reative Expression</w:t>
      </w:r>
      <w:r>
        <w:rPr>
          <w:rFonts w:ascii="Calibri" w:eastAsia="Times New Roman" w:hAnsi="Calibri" w:cs="Calibri"/>
          <w:color w:val="000000"/>
        </w:rPr>
        <w:t>: Final or significant creative work with artist statement</w:t>
      </w:r>
    </w:p>
    <w:p w14:paraId="15DC4DC2" w14:textId="1B7B978F" w:rsidR="0028500F" w:rsidRDefault="0028500F" w:rsidP="00A43CF3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</w:t>
      </w:r>
      <w:r w:rsidR="00BC3BF5">
        <w:rPr>
          <w:rFonts w:ascii="Calibri" w:eastAsia="Times New Roman" w:hAnsi="Calibri" w:cs="Calibri"/>
          <w:color w:val="000000"/>
        </w:rPr>
        <w:t>esthetics</w:t>
      </w:r>
      <w:r>
        <w:rPr>
          <w:rFonts w:ascii="Calibri" w:eastAsia="Times New Roman" w:hAnsi="Calibri" w:cs="Calibri"/>
          <w:color w:val="000000"/>
        </w:rPr>
        <w:t>: Final or significant analytical essay or presentation</w:t>
      </w:r>
    </w:p>
    <w:p w14:paraId="755E8DD7" w14:textId="47747188" w:rsidR="0028500F" w:rsidRDefault="0028500F" w:rsidP="00A43CF3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</w:p>
    <w:p w14:paraId="59345522" w14:textId="2DFC1DCD" w:rsidR="0028500F" w:rsidRDefault="0028500F" w:rsidP="00A43CF3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Secondary Assessments (for a non-fine arts class</w:t>
      </w:r>
      <w:r w:rsidR="00BC3BF5">
        <w:rPr>
          <w:rFonts w:ascii="Calibri" w:eastAsia="Times New Roman" w:hAnsi="Calibri" w:cs="Calibri"/>
          <w:color w:val="000000"/>
        </w:rPr>
        <w:t>)</w:t>
      </w:r>
    </w:p>
    <w:p w14:paraId="621628A2" w14:textId="0721B881" w:rsidR="0028500F" w:rsidRDefault="0028500F" w:rsidP="00A43CF3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</w:p>
    <w:p w14:paraId="33AFE4B0" w14:textId="04F0EB5E" w:rsidR="0028500F" w:rsidRDefault="0028500F" w:rsidP="00A43CF3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Math: Using the Fibonacci sequence to create artistic renderings</w:t>
      </w:r>
    </w:p>
    <w:p w14:paraId="5010AE03" w14:textId="3D731370" w:rsidR="0028500F" w:rsidRDefault="0028500F" w:rsidP="00A43CF3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Psychology: Yoruba beadwork colors of emotion</w:t>
      </w:r>
    </w:p>
    <w:p w14:paraId="02BD7872" w14:textId="1C19C53D" w:rsidR="0028500F" w:rsidRDefault="0028500F" w:rsidP="00A43CF3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Ethnic Studies: African story quilts </w:t>
      </w:r>
    </w:p>
    <w:p w14:paraId="53222BDD" w14:textId="74C8062D" w:rsidR="0028500F" w:rsidRDefault="0028500F" w:rsidP="00A43CF3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Any class with a social justice component: Social justice murals</w:t>
      </w:r>
    </w:p>
    <w:p w14:paraId="38A1EEE0" w14:textId="77777777" w:rsidR="0028500F" w:rsidRDefault="0028500F" w:rsidP="00A43CF3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</w:p>
    <w:p w14:paraId="1DA9517C" w14:textId="6B8AB007" w:rsidR="0028500F" w:rsidRDefault="0028500F" w:rsidP="00A43CF3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(See attached document; note that rubric dimensions and performance levels are similar to but do not correspond exactly with final version</w:t>
      </w:r>
      <w:r w:rsidR="00BC3BF5">
        <w:rPr>
          <w:rFonts w:ascii="Calibri" w:eastAsia="Times New Roman" w:hAnsi="Calibri" w:cs="Calibri"/>
          <w:color w:val="000000"/>
        </w:rPr>
        <w:t>, and that each contains examples and rubrics for both Creative Expression and Aesthetics exercises</w:t>
      </w:r>
      <w:r>
        <w:rPr>
          <w:rFonts w:ascii="Calibri" w:eastAsia="Times New Roman" w:hAnsi="Calibri" w:cs="Calibri"/>
          <w:color w:val="000000"/>
        </w:rPr>
        <w:t xml:space="preserve">.) </w:t>
      </w:r>
    </w:p>
    <w:p w14:paraId="20A1CA70" w14:textId="77777777" w:rsidR="00A43CF3" w:rsidRPr="00E657B9" w:rsidRDefault="00A43CF3" w:rsidP="00A43CF3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</w:p>
    <w:p w14:paraId="1483F4C1" w14:textId="77777777" w:rsidR="0057211E" w:rsidRPr="00E657B9" w:rsidRDefault="0057211E" w:rsidP="00E657B9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  <w:r w:rsidRPr="00E657B9">
        <w:rPr>
          <w:rFonts w:ascii="Calibri" w:eastAsia="Times New Roman" w:hAnsi="Calibri" w:cs="Calibri"/>
          <w:color w:val="000000"/>
        </w:rPr>
        <w:t>The completed rubric with dimensions and performance levels </w:t>
      </w:r>
    </w:p>
    <w:p w14:paraId="25513C19" w14:textId="1A92D086" w:rsidR="0057211E" w:rsidRDefault="00E657B9" w:rsidP="0028500F">
      <w:pPr>
        <w:ind w:left="720"/>
      </w:pPr>
      <w:r>
        <w:t>(</w:t>
      </w:r>
      <w:proofErr w:type="gramStart"/>
      <w:r>
        <w:t>attach</w:t>
      </w:r>
      <w:proofErr w:type="gramEnd"/>
      <w:r>
        <w:t xml:space="preserve"> as a separate document or copy and paste into this document)</w:t>
      </w:r>
    </w:p>
    <w:p w14:paraId="465DCE8A" w14:textId="2599CB9A" w:rsidR="00052742" w:rsidRPr="00BC3BF5" w:rsidRDefault="00052742" w:rsidP="00BC3BF5">
      <w:pPr>
        <w:rPr>
          <w:sz w:val="21"/>
          <w:szCs w:val="21"/>
        </w:rPr>
      </w:pPr>
      <w:r w:rsidRPr="00BC3BF5">
        <w:rPr>
          <w:sz w:val="21"/>
          <w:szCs w:val="21"/>
        </w:rPr>
        <w:t xml:space="preserve">Note: The following rubric </w:t>
      </w:r>
      <w:r w:rsidR="00C01AF8" w:rsidRPr="00BC3BF5">
        <w:rPr>
          <w:sz w:val="21"/>
          <w:szCs w:val="21"/>
        </w:rPr>
        <w:t xml:space="preserve">is divided into two sections, Creative Expression and Aesthetics, for two different types of assessment; it is not anticipated that both would be used for a single class. The rubric also incorporates an acknowledgement </w:t>
      </w:r>
      <w:r w:rsidRPr="00BC3BF5">
        <w:rPr>
          <w:sz w:val="21"/>
          <w:szCs w:val="21"/>
        </w:rPr>
        <w:t>that it will apply organically to some courses (i.e. classes in the fine arts) and less organically to others (i.e. non-fine arts classes adopting this ELO), and that the two different types of courses may be meeting the outcome at different levels, which have</w:t>
      </w:r>
      <w:r w:rsidR="00C01AF8" w:rsidRPr="00BC3BF5">
        <w:rPr>
          <w:sz w:val="21"/>
          <w:szCs w:val="21"/>
        </w:rPr>
        <w:t xml:space="preserve"> been</w:t>
      </w:r>
      <w:r w:rsidRPr="00BC3BF5">
        <w:rPr>
          <w:sz w:val="21"/>
          <w:szCs w:val="21"/>
        </w:rPr>
        <w:t xml:space="preserve"> termed Primary and Secondary. Using positive language, </w:t>
      </w:r>
      <w:r w:rsidR="00C01AF8" w:rsidRPr="00BC3BF5">
        <w:rPr>
          <w:sz w:val="21"/>
          <w:szCs w:val="21"/>
        </w:rPr>
        <w:t>the committee</w:t>
      </w:r>
      <w:r w:rsidRPr="00BC3BF5">
        <w:rPr>
          <w:sz w:val="21"/>
          <w:szCs w:val="21"/>
        </w:rPr>
        <w:t xml:space="preserve"> endeavored to create a rubric with successive achievements </w:t>
      </w:r>
      <w:r w:rsidR="00C01AF8" w:rsidRPr="00BC3BF5">
        <w:rPr>
          <w:sz w:val="21"/>
          <w:szCs w:val="21"/>
        </w:rPr>
        <w:t xml:space="preserve">at both levels. The rubric at all levels can also be used for a fine arts class to gauge performance levels for any assignment, or for instruction and performance in a non-fine arts class that exceeds secondary-level requirements.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2106"/>
        <w:gridCol w:w="2144"/>
        <w:gridCol w:w="2050"/>
        <w:gridCol w:w="1783"/>
      </w:tblGrid>
      <w:tr w:rsidR="00052742" w:rsidRPr="00052742" w14:paraId="305FFD00" w14:textId="77777777" w:rsidTr="0005274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07146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b/>
                <w:bCs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b/>
                <w:bCs/>
                <w:sz w:val="16"/>
                <w:szCs w:val="16"/>
                <w:lang w:eastAsia="zh-CN"/>
              </w:rPr>
              <w:t>Creative Expression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64BB1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2A729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38BEA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B5672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1</w:t>
            </w:r>
          </w:p>
        </w:tc>
      </w:tr>
      <w:tr w:rsidR="00052742" w:rsidRPr="00052742" w14:paraId="2A237A17" w14:textId="77777777" w:rsidTr="0005274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BB92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1DB052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 xml:space="preserve">Primary - Exemplary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2235C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Primary - Proficient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37E15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Secondary - Exemplary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89045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Secondary - Proficient</w:t>
            </w:r>
          </w:p>
        </w:tc>
      </w:tr>
      <w:tr w:rsidR="00052742" w:rsidRPr="00052742" w14:paraId="3A2ED0D9" w14:textId="77777777" w:rsidTr="00052742">
        <w:trPr>
          <w:trHeight w:val="15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F81B9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 xml:space="preserve">Skill and Technique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066FB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Use of a variety of techniques applicable to a medium, demonstrating skill mastery at course level in the production of a significant or capstone artistic 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B7DAE" w14:textId="3FFF3D92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Use of a variety of techniques applicable to a medium, demonstrating refinement of skill through practice and competence in technique, in the production of a significant or capstone artistic 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15587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Use of more than one technique, or building upon a single technique, demonstrating minimal to moderate skill development through practice, in the production of an artistic 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3AE34D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 xml:space="preserve">Use of a single artistic technique, demonstrating introductory skills in the production of an artistic work </w:t>
            </w:r>
          </w:p>
        </w:tc>
      </w:tr>
      <w:tr w:rsidR="00052742" w:rsidRPr="00052742" w14:paraId="687D51C1" w14:textId="77777777" w:rsidTr="00052742">
        <w:trPr>
          <w:trHeight w:val="15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EE070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 xml:space="preserve">Creative Process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4E6BB" w14:textId="4D4E2302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 xml:space="preserve">Use of informed strategies in creative choices, </w:t>
            </w:r>
            <w:r w:rsidR="00BC3BF5"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achieving</w:t>
            </w: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 xml:space="preserve"> originality and/or sophisticated integration of conventions, with participation in a feedback process that improves the 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456B1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Use of informed strategies in creative choices, working toward novelty and sophistication, with participation in a feedback process that improves the 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EBE6F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Demonstrates metacognitive awareness of creative choices, including basic strategizing for novelty, or draws upon referential work in an informed, thoughtful 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C852A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Demonstrates success in replication, shows basic creativity, or draws upon referential work in a basic way</w:t>
            </w:r>
          </w:p>
        </w:tc>
      </w:tr>
      <w:tr w:rsidR="00052742" w:rsidRPr="00052742" w14:paraId="68B4D5C7" w14:textId="77777777" w:rsidTr="00052742">
        <w:trPr>
          <w:trHeight w:val="17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64D7B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lastRenderedPageBreak/>
              <w:t>Creative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71E88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Demonstrates clear understanding of ways in which art expresses ideas, generates affect, or touches the senses, with an artistic work effectively designed for audience engagement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B1FC0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Demonstrates basic understanding of ways in which art expresses ideas, generates affect, or touches the senses, with an artistic work minimally designed for audience engagement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DC226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Demonstrates understanding of the relationship between form and content and/or principles relevant to medium and style as part of the creative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DE487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Demonstrates basic understanding of principles relevant to medium and style as part of the creative process</w:t>
            </w:r>
          </w:p>
        </w:tc>
      </w:tr>
      <w:tr w:rsidR="00052742" w:rsidRPr="00052742" w14:paraId="22A8F54D" w14:textId="77777777" w:rsidTr="0005274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7A0FC0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b/>
                <w:bCs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b/>
                <w:bCs/>
                <w:sz w:val="16"/>
                <w:szCs w:val="16"/>
                <w:lang w:eastAsia="zh-CN"/>
              </w:rPr>
              <w:t>Aesthetics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B3E7F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970D1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9E44E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87122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1</w:t>
            </w:r>
          </w:p>
        </w:tc>
      </w:tr>
      <w:tr w:rsidR="00052742" w:rsidRPr="00052742" w14:paraId="07708F84" w14:textId="77777777" w:rsidTr="0005274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75D8B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C7DC7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 xml:space="preserve">Primary - Exemplary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224CA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Primary - Proficient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A4FFF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Secondary - Exemplary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BB1CC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Secondary - Proficient</w:t>
            </w:r>
          </w:p>
        </w:tc>
      </w:tr>
      <w:tr w:rsidR="00052742" w:rsidRPr="00052742" w14:paraId="44CCDC74" w14:textId="77777777" w:rsidTr="00052742">
        <w:trPr>
          <w:trHeight w:val="20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E7B78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Cultural and Historical Context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36D21" w14:textId="0D88E6D2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Cogently analyzes the work in historical and art historical context (i.e. relevant to periods or movements), with regard to cultural influences and impacts, appropriate to class level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E7037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Proficiently analyzes the work in historical, art historical, and/or cultural contexts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3D71B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Demonstrates an informed understanding of historical, social, or cultural context as pertaining to a work or style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FFA95" w14:textId="62590E5D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 xml:space="preserve">Demonstrates a basic understanding of historical, social, or </w:t>
            </w:r>
            <w:r w:rsidR="00BC3BF5"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cultural</w:t>
            </w: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 xml:space="preserve"> context as pertaining to a work or style</w:t>
            </w:r>
          </w:p>
        </w:tc>
      </w:tr>
      <w:tr w:rsidR="00052742" w:rsidRPr="00052742" w14:paraId="69AEBAAF" w14:textId="77777777" w:rsidTr="00052742">
        <w:trPr>
          <w:trHeight w:val="20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21C12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Form and Concept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B8E6B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Cogently analyzes the work in terms of its formal qualities as related to thematic or conceptual content, demonstrating how form and content inform one another, appropriate to class level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37B56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Proficiently analyzes a work in terms of its formal qualities as related to thematic or conceptual content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F6244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Demonstrates an understanding of how form interrelates with and influences content for a given work, balancing form and content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9A43F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Demonstrates understanding of the fundamental distinction between form and content relative to a work, emphasizing content</w:t>
            </w:r>
          </w:p>
        </w:tc>
      </w:tr>
      <w:tr w:rsidR="00052742" w:rsidRPr="00052742" w14:paraId="3F82DE31" w14:textId="77777777" w:rsidTr="00052742">
        <w:trPr>
          <w:trHeight w:val="21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CB572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Analysis, Interpretation, and Evaluation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9C982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Describes, analyzes, interprets, and evaluates the work using one or more critical perspectives, relevant to cultural significance and appropriate to class level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433B4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Describes, analyzes, and interprets the work or elucidates ways in which it engages audiences through idea, affect, and senses, appropriate to class level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0520F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Describes and analyzes the work using basic analytical strategies)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90934" w14:textId="77777777" w:rsidR="00052742" w:rsidRPr="00052742" w:rsidRDefault="00052742" w:rsidP="00052742">
            <w:pPr>
              <w:spacing w:after="0" w:line="240" w:lineRule="auto"/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</w:pPr>
            <w:r w:rsidRPr="00052742">
              <w:rPr>
                <w:rFonts w:ascii="Proxima Nova" w:eastAsia="Times New Roman" w:hAnsi="Proxima Nova" w:cs="Arial"/>
                <w:sz w:val="16"/>
                <w:szCs w:val="16"/>
                <w:lang w:eastAsia="zh-CN"/>
              </w:rPr>
              <w:t>Describes the work, including minimal to moderate consideration of formal aspects (i.e. specific to the medium, apart from content)</w:t>
            </w:r>
          </w:p>
        </w:tc>
      </w:tr>
    </w:tbl>
    <w:p w14:paraId="387B5676" w14:textId="77777777" w:rsidR="0057211E" w:rsidRDefault="0057211E" w:rsidP="0057211E"/>
    <w:sectPr w:rsidR="00572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5E87"/>
    <w:multiLevelType w:val="hybridMultilevel"/>
    <w:tmpl w:val="7B448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77B6"/>
    <w:multiLevelType w:val="hybridMultilevel"/>
    <w:tmpl w:val="6722DC38"/>
    <w:lvl w:ilvl="0" w:tplc="A5DA0A8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1E"/>
    <w:rsid w:val="00052742"/>
    <w:rsid w:val="000C7F5C"/>
    <w:rsid w:val="002040F3"/>
    <w:rsid w:val="00253D93"/>
    <w:rsid w:val="0028500F"/>
    <w:rsid w:val="002E33DE"/>
    <w:rsid w:val="002F487D"/>
    <w:rsid w:val="0057211E"/>
    <w:rsid w:val="008A6C27"/>
    <w:rsid w:val="009568F1"/>
    <w:rsid w:val="00A43CF3"/>
    <w:rsid w:val="00BC3BF5"/>
    <w:rsid w:val="00C01AF8"/>
    <w:rsid w:val="00D92EF7"/>
    <w:rsid w:val="00E657B9"/>
    <w:rsid w:val="00E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3147"/>
  <w15:chartTrackingRefBased/>
  <w15:docId w15:val="{F9D64FD4-4D92-4B8A-8E45-2910B86C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.garrett@n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State College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Garrett</dc:creator>
  <cp:keywords/>
  <dc:description/>
  <cp:lastModifiedBy>Chris Garrett</cp:lastModifiedBy>
  <cp:revision>2</cp:revision>
  <dcterms:created xsi:type="dcterms:W3CDTF">2021-06-14T19:21:00Z</dcterms:created>
  <dcterms:modified xsi:type="dcterms:W3CDTF">2021-06-14T19:21:00Z</dcterms:modified>
</cp:coreProperties>
</file>